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067" w:type="dxa"/>
        <w:jc w:val="center"/>
        <w:tblLayout w:type="fixed"/>
        <w:tblCellMar>
          <w:top w:w="0" w:type="dxa"/>
          <w:left w:w="108" w:type="dxa"/>
          <w:bottom w:w="0" w:type="dxa"/>
          <w:right w:w="108" w:type="dxa"/>
        </w:tblCellMar>
      </w:tblPr>
      <w:tblGrid>
        <w:gridCol w:w="800"/>
        <w:gridCol w:w="1320"/>
        <w:gridCol w:w="6097"/>
        <w:gridCol w:w="425"/>
        <w:gridCol w:w="425"/>
      </w:tblGrid>
      <w:tr w14:paraId="50012C65">
        <w:tblPrEx>
          <w:tblCellMar>
            <w:top w:w="0" w:type="dxa"/>
            <w:left w:w="108" w:type="dxa"/>
            <w:bottom w:w="0" w:type="dxa"/>
            <w:right w:w="108" w:type="dxa"/>
          </w:tblCellMar>
        </w:tblPrEx>
        <w:trPr>
          <w:trHeight w:val="232" w:hRule="atLeast"/>
          <w:jc w:val="center"/>
        </w:trPr>
        <w:tc>
          <w:tcPr>
            <w:tcW w:w="800" w:type="dxa"/>
            <w:tcBorders>
              <w:top w:val="single" w:color="000000" w:sz="4" w:space="0"/>
              <w:left w:val="single" w:color="000000" w:sz="4" w:space="0"/>
              <w:bottom w:val="single" w:color="000000" w:sz="4" w:space="0"/>
              <w:right w:val="single" w:color="000000" w:sz="4" w:space="0"/>
            </w:tcBorders>
            <w:vAlign w:val="center"/>
          </w:tcPr>
          <w:p w14:paraId="13057B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序号</w:t>
            </w:r>
          </w:p>
        </w:tc>
        <w:tc>
          <w:tcPr>
            <w:tcW w:w="1320" w:type="dxa"/>
            <w:tcBorders>
              <w:top w:val="single" w:color="000000" w:sz="4" w:space="0"/>
              <w:left w:val="single" w:color="000000" w:sz="4" w:space="0"/>
              <w:bottom w:val="single" w:color="000000" w:sz="4" w:space="0"/>
              <w:right w:val="single" w:color="000000" w:sz="4" w:space="0"/>
            </w:tcBorders>
            <w:vAlign w:val="center"/>
          </w:tcPr>
          <w:p w14:paraId="5457E9E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设备名称</w:t>
            </w:r>
          </w:p>
        </w:tc>
        <w:tc>
          <w:tcPr>
            <w:tcW w:w="6097" w:type="dxa"/>
            <w:tcBorders>
              <w:top w:val="single" w:color="000000" w:sz="4" w:space="0"/>
              <w:left w:val="single" w:color="000000" w:sz="4" w:space="0"/>
              <w:bottom w:val="single" w:color="000000" w:sz="4" w:space="0"/>
              <w:right w:val="single" w:color="000000" w:sz="4" w:space="0"/>
            </w:tcBorders>
            <w:vAlign w:val="center"/>
          </w:tcPr>
          <w:p w14:paraId="4BB50DD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技术参数要求</w:t>
            </w:r>
          </w:p>
        </w:tc>
        <w:tc>
          <w:tcPr>
            <w:tcW w:w="425" w:type="dxa"/>
            <w:tcBorders>
              <w:top w:val="single" w:color="000000" w:sz="4" w:space="0"/>
              <w:left w:val="single" w:color="000000" w:sz="4" w:space="0"/>
              <w:bottom w:val="single" w:color="000000" w:sz="4" w:space="0"/>
              <w:right w:val="single" w:color="000000" w:sz="4" w:space="0"/>
            </w:tcBorders>
            <w:vAlign w:val="center"/>
          </w:tcPr>
          <w:p w14:paraId="7BE109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数量</w:t>
            </w:r>
          </w:p>
        </w:tc>
        <w:tc>
          <w:tcPr>
            <w:tcW w:w="425" w:type="dxa"/>
            <w:tcBorders>
              <w:top w:val="single" w:color="000000" w:sz="4" w:space="0"/>
              <w:left w:val="single" w:color="000000" w:sz="4" w:space="0"/>
              <w:bottom w:val="single" w:color="000000" w:sz="4" w:space="0"/>
              <w:right w:val="single" w:color="000000" w:sz="4" w:space="0"/>
            </w:tcBorders>
            <w:vAlign w:val="center"/>
          </w:tcPr>
          <w:p w14:paraId="03450AF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单位</w:t>
            </w:r>
          </w:p>
        </w:tc>
      </w:tr>
      <w:tr w14:paraId="2AD79501">
        <w:tblPrEx>
          <w:tblCellMar>
            <w:top w:w="0" w:type="dxa"/>
            <w:left w:w="108" w:type="dxa"/>
            <w:bottom w:w="0" w:type="dxa"/>
            <w:right w:w="108" w:type="dxa"/>
          </w:tblCellMar>
        </w:tblPrEx>
        <w:trPr>
          <w:trHeight w:val="1377" w:hRule="atLeast"/>
          <w:jc w:val="center"/>
        </w:trPr>
        <w:tc>
          <w:tcPr>
            <w:tcW w:w="800" w:type="dxa"/>
            <w:tcBorders>
              <w:top w:val="single" w:color="000000" w:sz="4" w:space="0"/>
              <w:left w:val="single" w:color="000000" w:sz="4" w:space="0"/>
              <w:bottom w:val="single" w:color="000000" w:sz="4" w:space="0"/>
              <w:right w:val="single" w:color="000000" w:sz="4" w:space="0"/>
            </w:tcBorders>
            <w:vAlign w:val="center"/>
          </w:tcPr>
          <w:p w14:paraId="5810F50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320" w:type="dxa"/>
            <w:tcBorders>
              <w:top w:val="single" w:color="000000" w:sz="4" w:space="0"/>
              <w:left w:val="single" w:color="000000" w:sz="4" w:space="0"/>
              <w:bottom w:val="single" w:color="000000" w:sz="4" w:space="0"/>
              <w:right w:val="single" w:color="000000" w:sz="4" w:space="0"/>
            </w:tcBorders>
            <w:vAlign w:val="center"/>
          </w:tcPr>
          <w:p w14:paraId="1D93D52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智能制造系统规划设计实训平台</w:t>
            </w:r>
          </w:p>
        </w:tc>
        <w:tc>
          <w:tcPr>
            <w:tcW w:w="6097" w:type="dxa"/>
            <w:tcBorders>
              <w:top w:val="single" w:color="000000" w:sz="4" w:space="0"/>
              <w:left w:val="single" w:color="000000" w:sz="4" w:space="0"/>
              <w:bottom w:val="single" w:color="000000" w:sz="4" w:space="0"/>
              <w:right w:val="single" w:color="000000" w:sz="4" w:space="0"/>
            </w:tcBorders>
            <w:vAlign w:val="center"/>
          </w:tcPr>
          <w:p w14:paraId="090A56E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一、数据管理单元1套</w:t>
            </w:r>
          </w:p>
          <w:p w14:paraId="6CB46FF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1.主站PLC 1台，采用S7-1500PLC，支持多种编程语言，包括：梯形图（LAD）、结构化控制语言（SCL）、功能块图（FBD）、顺序功能语言(GRAPH)。</w:t>
            </w:r>
          </w:p>
          <w:p w14:paraId="61397D8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2.触摸屏 1台， 7.0寸TFT显示屏；PROFINET/工业以太网接口。</w:t>
            </w:r>
          </w:p>
          <w:p w14:paraId="7592640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3.电能表1台</w:t>
            </w:r>
          </w:p>
          <w:p w14:paraId="0C158B7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（1）测量当前电压、电流、频率及使用能耗。可以产生与实际功率相符的功率信号并将该功率信号进行累加从而获得电能数值。</w:t>
            </w:r>
          </w:p>
          <w:p w14:paraId="3194ED9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（2）可根据RS485通讯设置参数，通讯编号、频率、奇偶效验等参数。</w:t>
            </w:r>
          </w:p>
          <w:p w14:paraId="396B6FA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 温湿度传感器 1台</w:t>
            </w:r>
          </w:p>
          <w:p w14:paraId="69A7438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（1）可以测量温度（-40℃ 至80℃）和湿度（0% -100%）。</w:t>
            </w:r>
          </w:p>
          <w:p w14:paraId="50D6F83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（2）输出信号类型为RS485。</w:t>
            </w:r>
          </w:p>
          <w:p w14:paraId="61FD7C8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5.边缘计算网关1台</w:t>
            </w:r>
          </w:p>
          <w:p w14:paraId="549FD88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（1）PLC远程监控网关是平台中的远程通讯设备，可以方便实现现场设备的数据采集、远程PLC程序下载及故障诊断、基于PC、手机设备管理平台、网页版HMI自定义画面编程、组态。</w:t>
            </w:r>
          </w:p>
          <w:p w14:paraId="1342B2C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（2）与现场设备温湿度传感器、单相电能表、PLC通讯，实现读取现场设备数据。</w:t>
            </w:r>
          </w:p>
          <w:p w14:paraId="00D20A5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（3）支持RS485及Modbus-TCP通讯协议。</w:t>
            </w:r>
          </w:p>
          <w:p w14:paraId="14E350F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（4）配备数字化数据云平台</w:t>
            </w:r>
          </w:p>
          <w:p w14:paraId="6FA7129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6.工业交换机1台</w:t>
            </w:r>
          </w:p>
          <w:p w14:paraId="7781FD6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（1）工业以太网入门级非网管型交换机，5×10/100Mbit/sRJ45端口，LED诊断，24伏直流供电。</w:t>
            </w:r>
          </w:p>
          <w:p w14:paraId="50E3D52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（2）接口类型：电气8×RJ45接口。</w:t>
            </w:r>
          </w:p>
          <w:p w14:paraId="4F75069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（3）电源电压：1×24VDC(19.2Vto28.8V)。</w:t>
            </w:r>
          </w:p>
          <w:p w14:paraId="5789DAD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（4）电流消耗：120mA。</w:t>
            </w:r>
          </w:p>
          <w:p w14:paraId="5E9E499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（5）功率:2.88W。</w:t>
            </w:r>
          </w:p>
          <w:p w14:paraId="797A28F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7.管理用工业交换机3台</w:t>
            </w:r>
          </w:p>
          <w:p w14:paraId="5E82FA1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（1）协议标准：IEEE802.3、802.3i、802.3u、802.3x、802.3ab、802.3z兼容Modbus-TCP、Ethernet/IP、PROFINET等协议，可实现透明数据传输；</w:t>
            </w:r>
          </w:p>
          <w:p w14:paraId="61C0A37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（2）端口形态：8个10/100/1000MRJ45、4个千兆SFP端口。</w:t>
            </w:r>
          </w:p>
          <w:p w14:paraId="364BC9A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（3）电源输入：DC输入电压12/24/48VDC(9.6-60VDC)，支持反接保护。</w:t>
            </w:r>
          </w:p>
          <w:p w14:paraId="1484A33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（4）路由：支持RIP、支持静态路由、支持ARP代理。</w:t>
            </w:r>
          </w:p>
          <w:p w14:paraId="3F76B67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（5）VLAN：802.1QVLAN、MACVLAN、PrivateVLAN、ProtocolBasedVLAN、VoiceVLAN、VLANVPN、GARP/GVRP。</w:t>
            </w:r>
          </w:p>
          <w:p w14:paraId="48420D1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（6）地址表：MAC地址显⽰/查询、MAC地址过滤、静态MAC地址设置、动态MAC地址管理、支持IVL。</w:t>
            </w:r>
          </w:p>
          <w:p w14:paraId="28FD888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（7）端口管理：“端口汇聚、端口监控、端口限速、风暴抑制”、环回检测、线缆检测、Ping、Tracert检测、显示/过滤系统日志、日志服务器。</w:t>
            </w:r>
          </w:p>
          <w:p w14:paraId="216C1E2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（8）安全管理：支持基于端口、MAC、IP地址的安全管理。</w:t>
            </w:r>
          </w:p>
          <w:p w14:paraId="4BCCA57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（9）环网：支持ERPS环⽹协议、支持RPL配置。</w:t>
            </w:r>
          </w:p>
          <w:p w14:paraId="04F4990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（10）精确网络时间同步：支持IEEE1588精密时钟同步协议。</w:t>
            </w:r>
          </w:p>
          <w:p w14:paraId="369F705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8.防火墙1台</w:t>
            </w:r>
          </w:p>
          <w:p w14:paraId="1DA6A34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（1）端口：3个10/100/1000MRJ45端口、2个SFP（Combo）口、1个USB存储口、1个Console端口、1个MicroSD卡、1个MGMT管理口+C14C28C2:C13。</w:t>
            </w:r>
          </w:p>
          <w:p w14:paraId="1CD2F8E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（2）输入电源：12/24/48VDC(9.6-60VDC)。</w:t>
            </w:r>
          </w:p>
          <w:p w14:paraId="64A326B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（3）策略配置：安全策略、审计策略、带宽策略（带宽控制、连接数限制、连接数监控）、NAT策略（NAPT、一对一NAT、虚拟服务器、NATDMZ、UPnP）、ALG策略（FTPALG、H.323ALG、PPTPALG、SIP、ALG）。</w:t>
            </w:r>
          </w:p>
          <w:p w14:paraId="6210CC7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（4）攻击防护：支持ARP防护，如ARP欺骗、ARP攻击、支持多种常的攻击防护，如DDoS攻击、网络扫描、可疑包攻击、支持MAC地址过滤，阻断非法主机的接入。</w:t>
            </w:r>
          </w:p>
          <w:p w14:paraId="3980BB7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9.编程和设计工位计算机</w:t>
            </w:r>
          </w:p>
          <w:p w14:paraId="1AA55E1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（1）显示器：≥21寸。处理器：Inteli5同等以上处理器。内存：≥16GB。硬盘：≥500GB可用空间。显卡：独立显卡，显存≥2GB。双网卡，配有WIFI网卡。</w:t>
            </w:r>
          </w:p>
          <w:p w14:paraId="55183EB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（2）系统为64位版本，能流畅使用相关工程软件。</w:t>
            </w:r>
          </w:p>
          <w:p w14:paraId="1E2C18C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二、自动供料单元1套</w:t>
            </w:r>
          </w:p>
          <w:p w14:paraId="1CBF59A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供料工作单元包括供料装置、传输装置等。</w:t>
            </w:r>
          </w:p>
          <w:p w14:paraId="73DED02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1.供料装置1套</w:t>
            </w:r>
          </w:p>
          <w:p w14:paraId="45E35CE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（1）供料装置尺寸：由1个推料气缸、1个料仓、2个磁性开关等组成，可供料尺寸50mm×50mm×60mm，取料处有二次定位装置。</w:t>
            </w:r>
          </w:p>
          <w:p w14:paraId="3E6EE3F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（2）供料模块是供料单元中的一个模块，其作用为储存在料仓中的物料推送给搬运机械手。模块使用气缸推物料到位，两个光纤传感器分别检测料仓是否有物料和是否推料到位。</w:t>
            </w:r>
          </w:p>
          <w:p w14:paraId="3F2BD4A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2.搬运机械手1套</w:t>
            </w:r>
          </w:p>
          <w:p w14:paraId="0F8A737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（1）包括伺服电机及控制器、同步带、丝杠、导轨、抓料气缸、手爪等。</w:t>
            </w:r>
          </w:p>
          <w:p w14:paraId="4D7CAA2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（2）搬运机械手模块是供料单元中的一个模块，供料模块推出物料后搬运机械手模块搬运到分装单元的传送带上。该模块使用伺服电机驱动，使用真空发生器吸起物料。气缸带动吸盘上升下降搬运物料。</w:t>
            </w:r>
          </w:p>
          <w:p w14:paraId="4298285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3.控制系统1套</w:t>
            </w:r>
          </w:p>
          <w:p w14:paraId="6250050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（1）采用的PLC，支持多种编程语言包括：梯形图（LAD）、结构化控制语言（SCL）、功能块图（FBD）；通过信号板可直接在CPU上扩展模拟或数字信号。</w:t>
            </w:r>
          </w:p>
          <w:p w14:paraId="32DD56E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（2）集成以太网接口，支持PROFINET、TCP/IP、Modbus-TCP、Modbus-RTU等通信。</w:t>
            </w:r>
          </w:p>
          <w:p w14:paraId="705AA2D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（3）本地模块配置14入10出I/O，2点集成模拟量输入，0-10V；2点脉冲输出（PTO），最高频率支持100Khz。</w:t>
            </w:r>
          </w:p>
          <w:p w14:paraId="60261FA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（4）采用的PLC为工作单元控制器，用于主控制站协调和当前工作站伺服电机运行控制。</w:t>
            </w:r>
          </w:p>
          <w:p w14:paraId="3198DB6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4.伺服控制系统1套</w:t>
            </w:r>
          </w:p>
          <w:p w14:paraId="5026C04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（1）伺服驱动器，以太网通信接口，支持PROFINET通信方式，单相220V供电，功率100W。</w:t>
            </w:r>
          </w:p>
          <w:p w14:paraId="79AC7D1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（2）伺服驱动器内置电子齿轮比，超程防止功能，具有过电压、过电流、电压不足、过载、主电路检测异常、散热器过热、电源缺相、过速、编码器异常等保护功能。</w:t>
            </w:r>
          </w:p>
          <w:p w14:paraId="69491A1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（3）伺服驱动器输入、输出信号支持伺服后台软件进行参数配置。</w:t>
            </w:r>
          </w:p>
          <w:p w14:paraId="347A490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（4）绝对值编码器电池直接附装于驱动器下边，易于拆装更换。</w:t>
            </w:r>
          </w:p>
          <w:p w14:paraId="524FA01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（5）伺服电机：高惯量，23位绝对值编码器。</w:t>
            </w:r>
          </w:p>
          <w:p w14:paraId="53BDDF2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5.工业交换机1台</w:t>
            </w:r>
          </w:p>
          <w:p w14:paraId="3626057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（1）端口类型：RJ45端口：10/100BaseT（X）自动侦测，全/半双工MDI/MDI-X自适应。</w:t>
            </w:r>
          </w:p>
          <w:p w14:paraId="6BABEE6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（2）端口数量：8个。</w:t>
            </w:r>
          </w:p>
          <w:p w14:paraId="3DE5FF9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（3）电压：DC12-48V（双电源冗余备份），支持内置过流4.0A保护，支持反接保护。</w:t>
            </w:r>
          </w:p>
          <w:p w14:paraId="3B8C49B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（4）功率：&lt;3W。</w:t>
            </w:r>
          </w:p>
          <w:p w14:paraId="0FF4818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（5）尺寸：143×101×44mm。</w:t>
            </w:r>
          </w:p>
          <w:p w14:paraId="321979D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（6）重量：0.64kg。</w:t>
            </w:r>
          </w:p>
          <w:p w14:paraId="16644BF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（7）工作温度：-40～85°C（-40～185°F）。</w:t>
            </w:r>
          </w:p>
          <w:p w14:paraId="20C2AC7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（8）工作湿度：5%～95%(无凝露）。</w:t>
            </w:r>
          </w:p>
          <w:p w14:paraId="675FA02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三、智能分拣单元1套</w:t>
            </w:r>
          </w:p>
          <w:p w14:paraId="5A90F91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包括料斗装置、传输装置、伺服电机及控制器、出料检测传感器、导向槽、同步带轮等。</w:t>
            </w:r>
          </w:p>
          <w:p w14:paraId="06B02B1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1.料斗装置2套</w:t>
            </w:r>
          </w:p>
          <w:p w14:paraId="2F72CFE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（1）至少由1个挡料气缸、1个料仓、2组检测传感器、1套伺服电机及控制器等组成，可进行5mm或8mm物料的分装工作。</w:t>
            </w:r>
          </w:p>
          <w:p w14:paraId="629DA42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（2）分装装置是根据本次订单数量，执行分料作用，具有接收到上一站给的启动信号，阻挡气缸到位，分装装置开始分料，传送带物料到达位置后，挡料气缸动作，装料完成。</w:t>
            </w:r>
          </w:p>
          <w:p w14:paraId="54AE8B6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2.传输装置1套、</w:t>
            </w:r>
          </w:p>
          <w:p w14:paraId="47280E6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（1）包括：输送带、伺服电机、同步带、挡料气缸、推料气缸、导向槽、装料检验、工件二次定位装置等组成。</w:t>
            </w:r>
          </w:p>
          <w:p w14:paraId="66BE0AB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传送带模块的作用根据订单需求类型传送物料分别到5mm钢球或8mm钢球的罐装位置，罐装完成并传送物料到物料缓存位置，该模块的传送带使用伺服电机驱动，罐装位置采用挡料气缸定位，罐装位置有光电传感器，确定物料到位并且执行下一步罐装。</w:t>
            </w:r>
          </w:p>
          <w:p w14:paraId="23AD10C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3.伺服控制系统3套</w:t>
            </w:r>
          </w:p>
          <w:p w14:paraId="4168778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（1）伺服驱动器，以太网通信接口，支持PROFINET通信方式，单相220V供电，功率100W。</w:t>
            </w:r>
          </w:p>
          <w:p w14:paraId="5FBE77D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（2）伺服驱动器内置电子齿轮比超程防止功能，具有过电压、过电流、电压不足、过载、主电路检测异常、散热器过热、电源缺相、过速、编码器异常等保护功能。</w:t>
            </w:r>
          </w:p>
          <w:p w14:paraId="29077DD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（3）伺服驱动器输入、输出信号支持伺服后台软件进行参数配置。</w:t>
            </w:r>
          </w:p>
          <w:p w14:paraId="1F73970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（4）绝对值编码器电池直接附装于驱动器下边，易于拆装更换。</w:t>
            </w:r>
          </w:p>
          <w:p w14:paraId="3076571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（5）伺服电机：高惯量，23位绝对值编码器。</w:t>
            </w:r>
          </w:p>
          <w:p w14:paraId="46F7DBE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4.工业交换机1台</w:t>
            </w:r>
          </w:p>
          <w:p w14:paraId="2DBB2E5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（1）端口类型：RJ45端口：10/100BaseT（X）自动侦测，全/半双工MDI/MDI-X自适应。</w:t>
            </w:r>
          </w:p>
          <w:p w14:paraId="00EE87A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（2）端口数量：8个。</w:t>
            </w:r>
          </w:p>
          <w:p w14:paraId="59D680F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（3）电压：DC12-48V（双电源冗余备份），支持内置过流4.0A保护，支持反接保护。</w:t>
            </w:r>
          </w:p>
          <w:p w14:paraId="151E23C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（4）功率：&lt;3W。</w:t>
            </w:r>
          </w:p>
          <w:p w14:paraId="40504AE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（5）尺寸：143×101×44mm。</w:t>
            </w:r>
          </w:p>
          <w:p w14:paraId="6355B10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（6）重量：0.64kg。</w:t>
            </w:r>
          </w:p>
          <w:p w14:paraId="6974DC6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（7）工作温度：-40～85°C（-40～185°F）。</w:t>
            </w:r>
          </w:p>
          <w:p w14:paraId="4337BE6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（8）工作湿度：5%～95%(无凝露）。</w:t>
            </w:r>
          </w:p>
          <w:p w14:paraId="4C9103C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四、装配检测单元1套</w:t>
            </w:r>
          </w:p>
          <w:p w14:paraId="724A111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装配检测工作单元包含拨料模块、称重模块、装配模块等。</w:t>
            </w:r>
          </w:p>
          <w:p w14:paraId="1E7EF44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1.拨料模块1套</w:t>
            </w:r>
          </w:p>
          <w:p w14:paraId="076F108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拨料模块是将传输带末端已经分装好的物料拨到称重监测处。动作全部由气缸进行控制。</w:t>
            </w:r>
          </w:p>
          <w:p w14:paraId="4AD8F93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2.称重检测模块1套</w:t>
            </w:r>
          </w:p>
          <w:p w14:paraId="00DE3A8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分装好的物料通过拨料模块拨到称重模块处进行称重检测，并配有至少一个三色指示灯进行显示，称重状态下黄色指示灯闪烁，质检合格后量绿灯，质检不合格红色闪烁。至少包含有1个力传感器，用来检测称重时的重量。力矩传感器参数如下：</w:t>
            </w:r>
          </w:p>
          <w:p w14:paraId="68773A2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（1）量程：0-2kg。</w:t>
            </w:r>
          </w:p>
          <w:p w14:paraId="40FFF65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（2）激励电压：5-10VDC。</w:t>
            </w:r>
          </w:p>
          <w:p w14:paraId="36994D2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（3）密封等级：IP67。</w:t>
            </w:r>
          </w:p>
          <w:p w14:paraId="3232A9B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（4）输出信号：RS485。</w:t>
            </w:r>
          </w:p>
          <w:p w14:paraId="5CA4A5D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3.装配模块1套</w:t>
            </w:r>
          </w:p>
          <w:p w14:paraId="337A3DC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将称重合格的物料进行物料装配。由推料机构和取放料机构组成，通过真空发生器将物料盖准确装配到称重合格物料上。</w:t>
            </w:r>
          </w:p>
          <w:p w14:paraId="73A203D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 4.入库机械手1套</w:t>
            </w:r>
          </w:p>
          <w:p w14:paraId="297A408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（1）智能放料装置尺寸：≥400mm×300mm×680mm，包括取料手爪、推料气缸、旋转工作台、导轨丝杠、伺服电机及控制器等组成。</w:t>
            </w:r>
          </w:p>
          <w:p w14:paraId="520B14F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（2）入库机械手由2台伺服控制系统控制，由旋转轴C轴、移动轴Z轴和取料轴X轴组成，通过两轴配合进行物料抓取和入库工作。</w:t>
            </w:r>
          </w:p>
          <w:p w14:paraId="0E31682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5.控制系统1套</w:t>
            </w:r>
          </w:p>
          <w:p w14:paraId="18769BF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（1）采用的PLC，支持多种编程语言包括：梯形图（LAD）、结构化控制语言（SCL）、功能块图（FBD），通过信号板可直接在CPU上扩展模拟或数字信号。</w:t>
            </w:r>
          </w:p>
          <w:p w14:paraId="194ABBE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（2）集成以太网接口，支持PROFINET、TCP-IP、Modbus-TCP、Modbus-RTU等通信。</w:t>
            </w:r>
          </w:p>
          <w:p w14:paraId="6317974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（3）本地模块配置14入10出I/O，2点集成模拟量输入，0-10V；2点脉冲输出（PTO），最高频率支持100Khz。</w:t>
            </w:r>
          </w:p>
          <w:p w14:paraId="1B149E5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（4）采用的PLC为工作单元控制器，用于主控制站协调和当前工作站伺服电机运行控制。</w:t>
            </w:r>
          </w:p>
          <w:p w14:paraId="010B7E5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6.工业交换机1套</w:t>
            </w:r>
          </w:p>
          <w:p w14:paraId="30FAD0C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（1）端口类型：RJ45端口：10/100BaseT（X）自动侦测，全/半双工MDI/MDI-X自适应。</w:t>
            </w:r>
          </w:p>
          <w:p w14:paraId="2128683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（2）端口数量：8个。</w:t>
            </w:r>
          </w:p>
          <w:p w14:paraId="2631F57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（3）电压：DC12-48V（双电源冗余备份），支持内置过流4.0A保护，支持反接保护。</w:t>
            </w:r>
          </w:p>
          <w:p w14:paraId="65A3516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（4）功率：&lt;3W。</w:t>
            </w:r>
          </w:p>
          <w:p w14:paraId="4577ADB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（5）尺寸：143×101×44mm。</w:t>
            </w:r>
          </w:p>
          <w:p w14:paraId="1B4FD88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（6）重量：0.64kg。</w:t>
            </w:r>
          </w:p>
          <w:p w14:paraId="6131F8A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（7）工作温度：-40～85°C（-40～185°F）。</w:t>
            </w:r>
          </w:p>
          <w:p w14:paraId="4B64C59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（8）工作湿度：5%～95%(无凝露）。</w:t>
            </w:r>
          </w:p>
        </w:tc>
        <w:tc>
          <w:tcPr>
            <w:tcW w:w="425" w:type="dxa"/>
            <w:tcBorders>
              <w:top w:val="single" w:color="000000" w:sz="4" w:space="0"/>
              <w:left w:val="single" w:color="000000" w:sz="4" w:space="0"/>
              <w:bottom w:val="single" w:color="000000" w:sz="4" w:space="0"/>
              <w:right w:val="single" w:color="000000" w:sz="4" w:space="0"/>
            </w:tcBorders>
            <w:vAlign w:val="center"/>
          </w:tcPr>
          <w:p w14:paraId="73FDAAF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425" w:type="dxa"/>
            <w:tcBorders>
              <w:top w:val="single" w:color="000000" w:sz="4" w:space="0"/>
              <w:left w:val="single" w:color="000000" w:sz="4" w:space="0"/>
              <w:bottom w:val="single" w:color="000000" w:sz="4" w:space="0"/>
              <w:right w:val="single" w:color="000000" w:sz="4" w:space="0"/>
            </w:tcBorders>
            <w:vAlign w:val="center"/>
          </w:tcPr>
          <w:p w14:paraId="6595AA6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套</w:t>
            </w:r>
          </w:p>
        </w:tc>
      </w:tr>
      <w:tr w14:paraId="2B41190D">
        <w:tblPrEx>
          <w:tblCellMar>
            <w:top w:w="0" w:type="dxa"/>
            <w:left w:w="108" w:type="dxa"/>
            <w:bottom w:w="0" w:type="dxa"/>
            <w:right w:w="108" w:type="dxa"/>
          </w:tblCellMar>
        </w:tblPrEx>
        <w:trPr>
          <w:trHeight w:val="660" w:hRule="atLeast"/>
          <w:jc w:val="center"/>
        </w:trPr>
        <w:tc>
          <w:tcPr>
            <w:tcW w:w="800" w:type="dxa"/>
            <w:tcBorders>
              <w:top w:val="single" w:color="000000" w:sz="4" w:space="0"/>
              <w:left w:val="single" w:color="000000" w:sz="4" w:space="0"/>
              <w:bottom w:val="single" w:color="000000" w:sz="4" w:space="0"/>
              <w:right w:val="single" w:color="000000" w:sz="4" w:space="0"/>
            </w:tcBorders>
            <w:vAlign w:val="center"/>
          </w:tcPr>
          <w:p w14:paraId="24CF445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1320" w:type="dxa"/>
            <w:tcBorders>
              <w:top w:val="single" w:color="000000" w:sz="4" w:space="0"/>
              <w:left w:val="single" w:color="000000" w:sz="4" w:space="0"/>
              <w:bottom w:val="single" w:color="000000" w:sz="4" w:space="0"/>
              <w:right w:val="single" w:color="000000" w:sz="4" w:space="0"/>
            </w:tcBorders>
            <w:vAlign w:val="center"/>
          </w:tcPr>
          <w:p w14:paraId="3E7DAE1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其他技术支持</w:t>
            </w:r>
          </w:p>
        </w:tc>
        <w:tc>
          <w:tcPr>
            <w:tcW w:w="6097" w:type="dxa"/>
            <w:tcBorders>
              <w:top w:val="single" w:color="000000" w:sz="4" w:space="0"/>
              <w:left w:val="single" w:color="000000" w:sz="4" w:space="0"/>
              <w:bottom w:val="single" w:color="000000" w:sz="4" w:space="0"/>
              <w:right w:val="single" w:color="000000" w:sz="4" w:space="0"/>
            </w:tcBorders>
          </w:tcPr>
          <w:p w14:paraId="4C98098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 1.成交供应商提供技术支持人员，提供不少于</w:t>
            </w:r>
            <w:r>
              <w:rPr>
                <w:rFonts w:hint="eastAsia" w:ascii="宋体" w:hAnsi="宋体" w:eastAsia="宋体" w:cs="宋体"/>
                <w:sz w:val="21"/>
                <w:szCs w:val="21"/>
                <w:lang w:val="en-US" w:eastAsia="zh-CN"/>
              </w:rPr>
              <w:t>15</w:t>
            </w:r>
            <w:r>
              <w:rPr>
                <w:rFonts w:hint="eastAsia" w:ascii="宋体" w:hAnsi="宋体" w:eastAsia="宋体" w:cs="宋体"/>
                <w:sz w:val="21"/>
                <w:szCs w:val="21"/>
              </w:rPr>
              <w:t>天的上门培训和不少于</w:t>
            </w:r>
            <w:r>
              <w:rPr>
                <w:rFonts w:hint="eastAsia" w:ascii="宋体" w:hAnsi="宋体" w:eastAsia="宋体" w:cs="宋体"/>
                <w:sz w:val="21"/>
                <w:szCs w:val="21"/>
                <w:lang w:val="en-US" w:eastAsia="zh-CN"/>
              </w:rPr>
              <w:t>15天</w:t>
            </w:r>
            <w:r>
              <w:rPr>
                <w:rFonts w:hint="eastAsia" w:ascii="宋体" w:hAnsi="宋体" w:eastAsia="宋体" w:cs="宋体"/>
                <w:sz w:val="21"/>
                <w:szCs w:val="21"/>
              </w:rPr>
              <w:t>的驻校技术支持。</w:t>
            </w:r>
          </w:p>
          <w:p w14:paraId="768BDB07">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提供设备的配套的工业软件包含但不限于：PLC编程软件、仿真软件、网关配置软件、云平台数据管理系统等。</w:t>
            </w:r>
          </w:p>
          <w:p w14:paraId="1C845241">
            <w:pPr>
              <w:keepNext w:val="0"/>
              <w:keepLines w:val="0"/>
              <w:pageBreakBefore w:val="0"/>
              <w:widowControl w:val="0"/>
              <w:numPr>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bookmarkStart w:id="0" w:name="_GoBack"/>
            <w:bookmarkEnd w:id="0"/>
            <w:r>
              <w:rPr>
                <w:rFonts w:hint="eastAsia" w:ascii="宋体" w:hAnsi="宋体" w:cs="宋体"/>
                <w:szCs w:val="21"/>
              </w:rPr>
              <w:t>★ 3</w:t>
            </w:r>
            <w:r>
              <w:rPr>
                <w:rFonts w:ascii="宋体" w:hAnsi="宋体" w:cs="宋体"/>
                <w:szCs w:val="21"/>
              </w:rPr>
              <w:t xml:space="preserve">. </w:t>
            </w:r>
            <w:r>
              <w:rPr>
                <w:rFonts w:hint="eastAsia" w:ascii="宋体" w:hAnsi="宋体" w:cs="宋体"/>
                <w:szCs w:val="21"/>
              </w:rPr>
              <w:t>提供设备的三维模型和配套数字孪生资源，能够在至少两种不同的仿真软件中实现设备的孪生，需在投标文件中提供至少两种不同的仿真软件相关数字孪生的运行视频，保存在u盘一同提交。</w:t>
            </w:r>
          </w:p>
        </w:tc>
        <w:tc>
          <w:tcPr>
            <w:tcW w:w="425" w:type="dxa"/>
            <w:tcBorders>
              <w:top w:val="single" w:color="000000" w:sz="4" w:space="0"/>
              <w:left w:val="single" w:color="000000" w:sz="4" w:space="0"/>
              <w:bottom w:val="single" w:color="000000" w:sz="4" w:space="0"/>
              <w:right w:val="single" w:color="000000" w:sz="4" w:space="0"/>
            </w:tcBorders>
            <w:vAlign w:val="center"/>
          </w:tcPr>
          <w:p w14:paraId="6E5E8A5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425" w:type="dxa"/>
            <w:tcBorders>
              <w:top w:val="single" w:color="000000" w:sz="4" w:space="0"/>
              <w:left w:val="single" w:color="000000" w:sz="4" w:space="0"/>
              <w:bottom w:val="single" w:color="000000" w:sz="4" w:space="0"/>
              <w:right w:val="single" w:color="000000" w:sz="4" w:space="0"/>
            </w:tcBorders>
            <w:vAlign w:val="center"/>
          </w:tcPr>
          <w:p w14:paraId="3BEEDE2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套</w:t>
            </w:r>
          </w:p>
        </w:tc>
      </w:tr>
    </w:tbl>
    <w:p w14:paraId="680E4D8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D84D6"/>
    <w:multiLevelType w:val="singleLevel"/>
    <w:tmpl w:val="D33D84D6"/>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346553"/>
    <w:rsid w:val="58F911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3495</Words>
  <Characters>4347</Characters>
  <Lines>0</Lines>
  <Paragraphs>0</Paragraphs>
  <TotalTime>0</TotalTime>
  <ScaleCrop>false</ScaleCrop>
  <LinksUpToDate>false</LinksUpToDate>
  <CharactersWithSpaces>4357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2025-11-18T09:27:00Z</dcterms:created>
  <dc:creator>SDECU</dc:creator>
  <cp:lastModifiedBy>helen</cp:lastModifiedBy>
  <dcterms:modified xsi:type="dcterms:W3CDTF">2025-11-19T01:52:09Z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eyJoZGlkIjoiMjI3MWM5NTE4MmNlZGIzNjg0NzE0M2U3ZTA1YjE4MzgiLCJ1c2VySWQiOiIxMTU1NDAyMTEyIn0=</vt:lpwstr>
  </property>
  <property fmtid="{D5CDD505-2E9C-101B-9397-08002B2CF9AE}" pid="4" name="ICV">
    <vt:lpwstr>2660C217F4AD447C8093DE762B3F271B_12</vt:lpwstr>
  </property>
</Properties>
</file>